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E6">
      <w:pPr>
        <w:spacing w:before="240" w:after="240"/>
        <w:jc w:val="center"/>
        <w:rPr>
          <w:sz w:val="28"/>
          <w:szCs w:val="28"/>
        </w:rPr>
      </w:pPr>
      <w:bookmarkStart w:id="0" w:name="_GoBack"/>
      <w:r>
        <w:rPr>
          <w:rFonts w:hint="default" w:ascii="Arial Bold" w:hAnsi="Arial Bold" w:cs="Arial Bold"/>
          <w:b/>
          <w:bCs/>
          <w:sz w:val="28"/>
          <w:szCs w:val="28"/>
          <w:rtl w:val="0"/>
        </w:rPr>
        <w:t>BRIEFER</w:t>
      </w:r>
      <w:bookmarkEnd w:id="0"/>
    </w:p>
    <w:p w14:paraId="4239D167">
      <w:pPr>
        <w:spacing w:before="240"/>
        <w:jc w:val="both"/>
        <w:rPr>
          <w:b/>
          <w:sz w:val="28"/>
          <w:szCs w:val="28"/>
        </w:rPr>
      </w:pPr>
      <w:r>
        <w:rPr>
          <w:sz w:val="28"/>
          <w:szCs w:val="28"/>
          <w:rtl w:val="0"/>
        </w:rPr>
        <w:t>Inobasyon sa DRR-CCA:</w:t>
      </w:r>
      <w:r>
        <w:rPr>
          <w:rFonts w:hint="default"/>
          <w:sz w:val="28"/>
          <w:szCs w:val="28"/>
          <w:rtl w:val="0"/>
          <w:lang w:val="en-US"/>
        </w:rPr>
        <w:t xml:space="preserve"> </w:t>
      </w:r>
      <w:r>
        <w:rPr>
          <w:b/>
          <w:sz w:val="28"/>
          <w:szCs w:val="28"/>
          <w:rtl w:val="0"/>
        </w:rPr>
        <w:t>Interactive Development of Mobile Community</w:t>
      </w:r>
      <w:r>
        <w:rPr>
          <w:rFonts w:hint="default"/>
          <w:b/>
          <w:sz w:val="28"/>
          <w:szCs w:val="28"/>
          <w:rtl w:val="0"/>
          <w:lang w:val="en-US"/>
        </w:rPr>
        <w:t xml:space="preserve"> </w:t>
      </w:r>
      <w:r>
        <w:rPr>
          <w:b/>
          <w:sz w:val="28"/>
          <w:szCs w:val="28"/>
          <w:rtl w:val="0"/>
        </w:rPr>
        <w:t>Theater for Education on DRR &amp; Gender</w:t>
      </w:r>
    </w:p>
    <w:p w14:paraId="43C7BFDE">
      <w:pPr>
        <w:spacing w:before="240"/>
        <w:jc w:val="both"/>
        <w:rPr>
          <w:b/>
          <w:sz w:val="28"/>
          <w:szCs w:val="28"/>
          <w:rtl w:val="0"/>
        </w:rPr>
      </w:pPr>
      <w:r>
        <w:rPr>
          <w:sz w:val="28"/>
          <w:szCs w:val="28"/>
          <w:rtl w:val="0"/>
        </w:rPr>
        <w:t>Nagpapatupad na Peoples’ Organization:</w:t>
      </w:r>
      <w:r>
        <w:rPr>
          <w:rFonts w:hint="default"/>
          <w:sz w:val="28"/>
          <w:szCs w:val="28"/>
          <w:rtl w:val="0"/>
          <w:lang w:val="en-US"/>
        </w:rPr>
        <w:t xml:space="preserve"> </w:t>
      </w:r>
      <w:r>
        <w:rPr>
          <w:b/>
          <w:sz w:val="28"/>
          <w:szCs w:val="28"/>
          <w:rtl w:val="0"/>
        </w:rPr>
        <w:t>Sexuality, Pride, Equality, Truth, Respect and Unity in the</w:t>
      </w:r>
      <w:r>
        <w:rPr>
          <w:rFonts w:hint="default"/>
          <w:b/>
          <w:sz w:val="28"/>
          <w:szCs w:val="28"/>
          <w:rtl w:val="0"/>
          <w:lang w:val="en-US"/>
        </w:rPr>
        <w:t xml:space="preserve"> </w:t>
      </w:r>
      <w:r>
        <w:rPr>
          <w:b/>
          <w:sz w:val="28"/>
          <w:szCs w:val="28"/>
          <w:rtl w:val="0"/>
        </w:rPr>
        <w:t>Municipality of San Remigio, Cebu /Bisdak Pride Inc. (SPEqTRUMS)</w:t>
      </w:r>
    </w:p>
    <w:p w14:paraId="66F3F482">
      <w:pPr>
        <w:spacing w:before="240"/>
        <w:jc w:val="both"/>
        <w:rPr>
          <w:b/>
          <w:sz w:val="28"/>
          <w:szCs w:val="28"/>
          <w:rtl w:val="0"/>
        </w:rPr>
      </w:pPr>
    </w:p>
    <w:p w14:paraId="000000F1">
      <w:pPr>
        <w:spacing w:before="240" w:after="240"/>
        <w:jc w:val="both"/>
        <w:rPr>
          <w:b/>
          <w:sz w:val="28"/>
          <w:szCs w:val="28"/>
        </w:rPr>
      </w:pPr>
      <w:r>
        <w:rPr>
          <w:b/>
          <w:sz w:val="28"/>
          <w:szCs w:val="28"/>
          <w:rtl w:val="0"/>
        </w:rPr>
        <w:t>Pagsusuri sa kalagayan/Sitwasyon:</w:t>
      </w:r>
    </w:p>
    <w:p w14:paraId="000000F2">
      <w:pPr>
        <w:spacing w:before="240"/>
        <w:jc w:val="both"/>
        <w:rPr>
          <w:sz w:val="28"/>
          <w:szCs w:val="28"/>
        </w:rPr>
      </w:pPr>
      <w:r>
        <w:rPr>
          <w:sz w:val="28"/>
          <w:szCs w:val="28"/>
          <w:rtl w:val="0"/>
        </w:rPr>
        <w:t>Ang munisipyo ng san Remigio sa Cebu ay karaniwang dinadaanan ng bagyo. Sa katunayan, 141 na sambahayan ang naapektuhan ng bagyong Jolina noong nakalipas na mga taon. Sa malawakang epekto nito, isa sa itinuturing na kakulangan ay ang kakulangan sa edukasyon tungkol sa paghahanda ng mga tao. Dagdag pa, ang isyu tungkol sa gender kaugnay ng DRR response ay mahigpit na problem din na nararanasan sa lugar. Ang Karaniwang paraan ng pagbibigay impormason para sa paghahanda ay sa pamamagitan ng lecture, powerpoint presentation, at iba pa na ikinaiinip at hindi tumitimo sa isip dahil bukod sa puro text ang laman ay naka-Ingles pa. ang attention span din ng mga tao sa pakikinig sa ganitong paraan ay maigsi lamang.</w:t>
      </w:r>
    </w:p>
    <w:p w14:paraId="000000F3">
      <w:pPr>
        <w:spacing w:before="240"/>
        <w:jc w:val="both"/>
        <w:rPr>
          <w:sz w:val="28"/>
          <w:szCs w:val="28"/>
        </w:rPr>
      </w:pPr>
      <w:r>
        <w:rPr>
          <w:sz w:val="28"/>
          <w:szCs w:val="28"/>
          <w:rtl w:val="0"/>
        </w:rPr>
        <w:t>But most people will remember concepts and terms if it will be done in acting and drama or theater presentation. Utilizing the strengths of the LGBT community, the group thought of innovating on Community Theater by making it mobile and actual production to be a community</w:t>
      </w:r>
    </w:p>
    <w:p w14:paraId="000000F4">
      <w:pPr>
        <w:spacing w:before="240"/>
        <w:jc w:val="both"/>
        <w:rPr>
          <w:b/>
          <w:sz w:val="28"/>
          <w:szCs w:val="28"/>
        </w:rPr>
      </w:pPr>
      <w:r>
        <w:rPr>
          <w:b/>
          <w:sz w:val="28"/>
          <w:szCs w:val="28"/>
          <w:rtl w:val="0"/>
        </w:rPr>
        <w:t xml:space="preserve"> </w:t>
      </w:r>
    </w:p>
    <w:p w14:paraId="000000F6">
      <w:pPr>
        <w:spacing w:before="240"/>
        <w:jc w:val="both"/>
        <w:rPr>
          <w:b/>
          <w:sz w:val="28"/>
          <w:szCs w:val="28"/>
        </w:rPr>
      </w:pPr>
      <w:r>
        <w:rPr>
          <w:b/>
          <w:sz w:val="28"/>
          <w:szCs w:val="28"/>
          <w:rtl w:val="0"/>
        </w:rPr>
        <w:t>Solusyon:</w:t>
      </w:r>
    </w:p>
    <w:p w14:paraId="000000F7">
      <w:pPr>
        <w:spacing w:before="240"/>
        <w:jc w:val="both"/>
        <w:rPr>
          <w:sz w:val="28"/>
          <w:szCs w:val="28"/>
        </w:rPr>
      </w:pPr>
      <w:r>
        <w:rPr>
          <w:sz w:val="28"/>
          <w:szCs w:val="28"/>
          <w:rtl w:val="0"/>
        </w:rPr>
        <w:t>Ang Interactive Development of Mobile Community Theater for Education on DRR &amp; Gender ay bagong pamamaraan sa pabgbibigay ng kaalaman sa mga tao tungkol sa usapin ng LGBTQI. Sa pamamagitan ng mga pagtatanghal, mas madaling napupukaw ang interes ng mga manonood sa mga paksang may kinalaman sa gender at disaster dahil madaling maalala ang terminilohiya at konsepto  tungkol sa LGBTQI.</w:t>
      </w:r>
    </w:p>
    <w:p w14:paraId="000000F8">
      <w:pPr>
        <w:spacing w:before="240"/>
        <w:jc w:val="both"/>
        <w:rPr>
          <w:b/>
          <w:sz w:val="28"/>
          <w:szCs w:val="28"/>
        </w:rPr>
      </w:pPr>
      <w:r>
        <w:rPr>
          <w:b/>
          <w:sz w:val="28"/>
          <w:szCs w:val="28"/>
          <w:rtl w:val="0"/>
        </w:rPr>
        <w:t xml:space="preserve"> </w:t>
      </w:r>
    </w:p>
    <w:p w14:paraId="000000FA">
      <w:pPr>
        <w:spacing w:before="240"/>
        <w:jc w:val="both"/>
        <w:rPr>
          <w:b/>
          <w:sz w:val="28"/>
          <w:szCs w:val="28"/>
        </w:rPr>
      </w:pPr>
      <w:r>
        <w:rPr>
          <w:b/>
          <w:sz w:val="28"/>
          <w:szCs w:val="28"/>
          <w:rtl w:val="0"/>
        </w:rPr>
        <w:t>Epekto (Impact):</w:t>
      </w:r>
    </w:p>
    <w:p w14:paraId="000000FB">
      <w:pPr>
        <w:spacing w:before="240"/>
        <w:jc w:val="both"/>
        <w:rPr>
          <w:b/>
          <w:sz w:val="28"/>
          <w:szCs w:val="28"/>
        </w:rPr>
      </w:pPr>
      <w:r>
        <w:rPr>
          <w:b/>
          <w:sz w:val="28"/>
          <w:szCs w:val="28"/>
          <w:rtl w:val="0"/>
        </w:rPr>
        <w:t>Dahil sa inobasyong ito ay…</w:t>
      </w:r>
    </w:p>
    <w:p w14:paraId="000000FC">
      <w:pPr>
        <w:spacing w:before="240"/>
        <w:jc w:val="both"/>
        <w:rPr>
          <w:b/>
          <w:sz w:val="28"/>
          <w:szCs w:val="28"/>
        </w:rPr>
      </w:pPr>
      <w:r>
        <w:rPr>
          <w:b/>
          <w:sz w:val="28"/>
          <w:szCs w:val="28"/>
          <w:rtl w:val="0"/>
        </w:rPr>
        <w:t xml:space="preserve"> </w:t>
      </w:r>
    </w:p>
    <w:p w14:paraId="000000FD">
      <w:pPr>
        <w:spacing w:before="240"/>
        <w:jc w:val="both"/>
        <w:rPr>
          <w:sz w:val="28"/>
          <w:szCs w:val="28"/>
        </w:rPr>
      </w:pPr>
      <w:r>
        <w:rPr>
          <w:sz w:val="28"/>
          <w:szCs w:val="28"/>
          <w:rtl w:val="0"/>
        </w:rPr>
        <w:t>… lumawak ang mga bilang ng kabataan na nagkaroon ng interes sa usapin ng sektor</w:t>
      </w:r>
    </w:p>
    <w:p w14:paraId="000000FE">
      <w:pPr>
        <w:ind w:left="1080" w:firstLine="0"/>
        <w:jc w:val="both"/>
        <w:rPr>
          <w:sz w:val="28"/>
          <w:szCs w:val="28"/>
        </w:rPr>
      </w:pPr>
      <w:r>
        <w:rPr>
          <w:sz w:val="28"/>
          <w:szCs w:val="28"/>
          <w:rtl w:val="0"/>
        </w:rPr>
        <w:t>Ø</w:t>
      </w:r>
      <w:r>
        <w:rPr>
          <w:rFonts w:ascii="Times New Roman" w:hAnsi="Times New Roman" w:eastAsia="Times New Roman" w:cs="Times New Roman"/>
          <w:sz w:val="16"/>
          <w:szCs w:val="16"/>
          <w:rtl w:val="0"/>
        </w:rPr>
        <w:t xml:space="preserve">  </w:t>
      </w:r>
      <w:r>
        <w:rPr>
          <w:sz w:val="28"/>
          <w:szCs w:val="28"/>
          <w:rtl w:val="0"/>
        </w:rPr>
        <w:t>Lumaki ang bilang ng kasapian ng organisasyon ng SPEqTRUMs;</w:t>
      </w:r>
    </w:p>
    <w:p w14:paraId="000000FF">
      <w:pPr>
        <w:ind w:left="1080" w:firstLine="0"/>
        <w:jc w:val="both"/>
        <w:rPr>
          <w:sz w:val="28"/>
          <w:szCs w:val="28"/>
        </w:rPr>
      </w:pPr>
      <w:r>
        <w:rPr>
          <w:sz w:val="28"/>
          <w:szCs w:val="28"/>
          <w:rtl w:val="0"/>
        </w:rPr>
        <w:t>Ø</w:t>
      </w:r>
      <w:r>
        <w:rPr>
          <w:rFonts w:ascii="Times New Roman" w:hAnsi="Times New Roman" w:eastAsia="Times New Roman" w:cs="Times New Roman"/>
          <w:sz w:val="16"/>
          <w:szCs w:val="16"/>
          <w:rtl w:val="0"/>
        </w:rPr>
        <w:t xml:space="preserve">  </w:t>
      </w:r>
      <w:r>
        <w:rPr>
          <w:sz w:val="28"/>
          <w:szCs w:val="28"/>
          <w:rtl w:val="0"/>
        </w:rPr>
        <w:t>May kahalintulad na samahan sa Zamboanga na nakipag-collaborate sa SPEqTRUMS para tularan ang pamamaraan</w:t>
      </w:r>
    </w:p>
    <w:p w14:paraId="00000100">
      <w:pPr>
        <w:ind w:left="1080" w:firstLine="0"/>
        <w:jc w:val="both"/>
        <w:rPr>
          <w:sz w:val="28"/>
          <w:szCs w:val="28"/>
        </w:rPr>
      </w:pPr>
      <w:r>
        <w:rPr>
          <w:sz w:val="28"/>
          <w:szCs w:val="28"/>
          <w:rtl w:val="0"/>
        </w:rPr>
        <w:t>Ø</w:t>
      </w:r>
      <w:r>
        <w:rPr>
          <w:rFonts w:ascii="Times New Roman" w:hAnsi="Times New Roman" w:eastAsia="Times New Roman" w:cs="Times New Roman"/>
          <w:sz w:val="16"/>
          <w:szCs w:val="16"/>
          <w:rtl w:val="0"/>
        </w:rPr>
        <w:t xml:space="preserve">  </w:t>
      </w:r>
      <w:r>
        <w:rPr>
          <w:sz w:val="28"/>
          <w:szCs w:val="28"/>
          <w:rtl w:val="0"/>
        </w:rPr>
        <w:t>Nakikipag – collaborate sa SPEqTRUMS ang mga Sangguniang Kabataan ng San Remigio para magtanghal sa kanilang mga barangay</w:t>
      </w:r>
    </w:p>
    <w:p w14:paraId="00000101">
      <w:pPr>
        <w:ind w:left="1080" w:firstLine="0"/>
        <w:jc w:val="both"/>
        <w:rPr>
          <w:sz w:val="28"/>
          <w:szCs w:val="28"/>
        </w:rPr>
      </w:pPr>
      <w:r>
        <w:rPr>
          <w:sz w:val="28"/>
          <w:szCs w:val="28"/>
          <w:rtl w:val="0"/>
        </w:rPr>
        <w:t>Ø</w:t>
      </w:r>
      <w:r>
        <w:rPr>
          <w:rFonts w:ascii="Times New Roman" w:hAnsi="Times New Roman" w:eastAsia="Times New Roman" w:cs="Times New Roman"/>
          <w:sz w:val="16"/>
          <w:szCs w:val="16"/>
          <w:rtl w:val="0"/>
        </w:rPr>
        <w:t xml:space="preserve">  </w:t>
      </w:r>
      <w:r>
        <w:rPr>
          <w:sz w:val="28"/>
          <w:szCs w:val="28"/>
          <w:rtl w:val="0"/>
        </w:rPr>
        <w:t>Inimbitahan ang SPEqTRUMS na magtanghal sa 7 High Schools ng San Remigio.</w:t>
      </w:r>
    </w:p>
    <w:p w14:paraId="00000102">
      <w:pPr>
        <w:spacing w:before="240"/>
        <w:jc w:val="both"/>
        <w:rPr>
          <w:sz w:val="28"/>
          <w:szCs w:val="28"/>
        </w:rPr>
      </w:pPr>
      <w:r>
        <w:rPr>
          <w:sz w:val="28"/>
          <w:szCs w:val="28"/>
          <w:rtl w:val="0"/>
        </w:rPr>
        <w:t xml:space="preserve"> </w:t>
      </w:r>
    </w:p>
    <w:p w14:paraId="00000103">
      <w:pPr>
        <w:spacing w:before="240"/>
        <w:jc w:val="both"/>
        <w:rPr>
          <w:sz w:val="28"/>
          <w:szCs w:val="28"/>
        </w:rPr>
      </w:pPr>
      <w:r>
        <w:rPr>
          <w:sz w:val="28"/>
          <w:szCs w:val="28"/>
          <w:rtl w:val="0"/>
        </w:rPr>
        <w:t>… mas naging inklusibo at kinikila ang sektor sa antas ng pamamahala</w:t>
      </w:r>
    </w:p>
    <w:p w14:paraId="00000104">
      <w:pPr>
        <w:ind w:left="1080" w:firstLine="0"/>
        <w:jc w:val="both"/>
        <w:rPr>
          <w:sz w:val="28"/>
          <w:szCs w:val="28"/>
        </w:rPr>
      </w:pPr>
      <w:r>
        <w:rPr>
          <w:sz w:val="28"/>
          <w:szCs w:val="28"/>
          <w:rtl w:val="0"/>
        </w:rPr>
        <w:t>Ø</w:t>
      </w:r>
      <w:r>
        <w:rPr>
          <w:rFonts w:ascii="Times New Roman" w:hAnsi="Times New Roman" w:eastAsia="Times New Roman" w:cs="Times New Roman"/>
          <w:sz w:val="16"/>
          <w:szCs w:val="16"/>
          <w:rtl w:val="0"/>
        </w:rPr>
        <w:t xml:space="preserve">  </w:t>
      </w:r>
      <w:r>
        <w:rPr>
          <w:sz w:val="28"/>
          <w:szCs w:val="28"/>
          <w:rtl w:val="0"/>
        </w:rPr>
        <w:t>Naipasa ang batas sa munisipyo hinggil sa Anti-Discrimation (pasend ng ordinansa) at kinikilala ang gay couple bilang head of the family na makakatanggap ng relief sa tuwing may disaster.</w:t>
      </w:r>
    </w:p>
    <w:p w14:paraId="00000105">
      <w:pPr>
        <w:ind w:left="1080" w:firstLine="0"/>
        <w:jc w:val="both"/>
        <w:rPr>
          <w:sz w:val="28"/>
          <w:szCs w:val="28"/>
        </w:rPr>
      </w:pPr>
      <w:r>
        <w:rPr>
          <w:sz w:val="28"/>
          <w:szCs w:val="28"/>
          <w:rtl w:val="0"/>
        </w:rPr>
        <w:t>Ø</w:t>
      </w:r>
      <w:r>
        <w:rPr>
          <w:rFonts w:ascii="Times New Roman" w:hAnsi="Times New Roman" w:eastAsia="Times New Roman" w:cs="Times New Roman"/>
          <w:sz w:val="16"/>
          <w:szCs w:val="16"/>
          <w:rtl w:val="0"/>
        </w:rPr>
        <w:t xml:space="preserve">  </w:t>
      </w:r>
      <w:r>
        <w:rPr>
          <w:sz w:val="28"/>
          <w:szCs w:val="28"/>
          <w:rtl w:val="0"/>
        </w:rPr>
        <w:t>Naipasa ang batas sa munisipyo hinggil sa gender and development (pasend ng ordinansa)</w:t>
      </w:r>
    </w:p>
    <w:p w14:paraId="18A7534B">
      <w:pPr>
        <w:rPr>
          <w:sz w:val="28"/>
          <w:szCs w:val="28"/>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Arial Bold">
    <w:panose1 w:val="020B07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55B59B"/>
    <w:rsid w:val="DF55B59B"/>
    <w:rsid w:val="F969A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customStyle="1" w:styleId="4">
    <w:name w:val="_Style 14"/>
    <w:basedOn w:val="5"/>
    <w:uiPriority w:val="0"/>
    <w:tblPr>
      <w:tblCellMar>
        <w:top w:w="100" w:type="dxa"/>
        <w:left w:w="100" w:type="dxa"/>
        <w:bottom w:w="100" w:type="dxa"/>
        <w:right w:w="100" w:type="dxa"/>
      </w:tblCellMar>
    </w:tblPr>
  </w:style>
  <w:style w:type="table" w:customStyle="1" w:styleId="5">
    <w:name w:val="TableNormal"/>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Office_12.1.21937.21937_F1E327BC-269C-435d-A152-05C5408002CA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2025-08-25T07:40:00Z</dcterms:created>
  <dc:creator>Jolina Garamay</dc:creator>
  <cp:lastModifiedBy>Jolina Garamay</cp:lastModifiedBy>
  <dcterms:modified xsi:type="dcterms:W3CDTF">2025-08-25T00:04:25Z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1033-12.1.21937.21937</vt:lpwstr>
  </property>
  <property fmtid="{D5CDD505-2E9C-101B-9397-08002B2CF9AE}" pid="3" name="ICV">
    <vt:lpwstr>E2C754A73C41702F6132AB68EFE8030C_41</vt:lpwstr>
  </property>
</Properties>
</file>